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F" w:rsidRDefault="0061028F" w:rsidP="0061028F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Приложение N 3</w:t>
      </w:r>
    </w:p>
    <w:p w:rsidR="0061028F" w:rsidRDefault="0061028F" w:rsidP="0061028F">
      <w:pPr>
        <w:autoSpaceDE w:val="0"/>
        <w:autoSpaceDN w:val="0"/>
        <w:adjustRightInd w:val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к Программе</w:t>
      </w:r>
    </w:p>
    <w:p w:rsidR="0061028F" w:rsidRDefault="0061028F" w:rsidP="0061028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ПРАВИЛА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ПРЕДОСТАВЛЕНИЯ И РАСХОДОВАНИЯ СУБСИДИЙ </w:t>
      </w:r>
      <w:proofErr w:type="gramStart"/>
      <w:r>
        <w:rPr>
          <w:rFonts w:ascii="Arial" w:hAnsi="Arial" w:cs="Arial"/>
          <w:b/>
          <w:bCs/>
          <w:sz w:val="20"/>
        </w:rPr>
        <w:t>ИЗ</w:t>
      </w:r>
      <w:proofErr w:type="gramEnd"/>
      <w:r>
        <w:rPr>
          <w:rFonts w:ascii="Arial" w:hAnsi="Arial" w:cs="Arial"/>
          <w:b/>
          <w:bCs/>
          <w:sz w:val="20"/>
        </w:rPr>
        <w:t xml:space="preserve"> ОБЛАСТНОГО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БЮДЖЕТА БЮДЖЕТАМ МУНИЦИПАЛЬНЫХ РАЙОНОВ (ГОРОДСКИХ ОКРУГОВ)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НА ПРОВЕДЕНИЕ РЕМОНТНЫХ РАБОТ И УКРЕПЛЕНИЕ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МАТЕРИАЛЬНО-ТЕХНИЧЕСКОЙ БАЗЫ </w:t>
      </w:r>
      <w:proofErr w:type="gramStart"/>
      <w:r>
        <w:rPr>
          <w:rFonts w:ascii="Arial" w:hAnsi="Arial" w:cs="Arial"/>
          <w:b/>
          <w:bCs/>
          <w:sz w:val="20"/>
        </w:rPr>
        <w:t>МУНИЦИПАЛЬНЫХ</w:t>
      </w:r>
      <w:proofErr w:type="gramEnd"/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УЧРЕЖДЕНИЙ КУЛЬТУРЫ, ИСКУССТВА И ОБРАЗОВАНИЯ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В СФЕРЕ КУЛЬТУРЫ И ИСКУССТВА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Список изменяющих документов</w:t>
      </w:r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 xml:space="preserve">(в ред. </w:t>
      </w:r>
      <w:hyperlink r:id="rId4" w:history="1">
        <w:r>
          <w:rPr>
            <w:rFonts w:ascii="Arial" w:hAnsi="Arial" w:cs="Arial"/>
            <w:color w:val="0000FF"/>
            <w:sz w:val="20"/>
          </w:rPr>
          <w:t>постановления</w:t>
        </w:r>
      </w:hyperlink>
      <w:r>
        <w:rPr>
          <w:rFonts w:ascii="Arial" w:hAnsi="Arial" w:cs="Arial"/>
          <w:sz w:val="20"/>
        </w:rPr>
        <w:t xml:space="preserve"> Правительства Мурманской области</w:t>
      </w:r>
      <w:proofErr w:type="gramEnd"/>
    </w:p>
    <w:p w:rsidR="0061028F" w:rsidRDefault="0061028F" w:rsidP="0061028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от 04.08.2016 N 383-ПП)</w:t>
      </w:r>
    </w:p>
    <w:p w:rsidR="0061028F" w:rsidRDefault="0061028F" w:rsidP="0061028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 </w:t>
      </w:r>
      <w:proofErr w:type="gramStart"/>
      <w:r>
        <w:rPr>
          <w:rFonts w:ascii="Arial" w:hAnsi="Arial" w:cs="Arial"/>
          <w:sz w:val="20"/>
        </w:rPr>
        <w:t xml:space="preserve">Настоящие Правила определяют порядок предоставления и расходования субсидий из областного бюджета бюджетам муниципальных районов (городских округов) (далее - муниципальные образования) на проведение ремонтных работ и укрепление материально-технической базы муниципальных учреждений культуры, искусства и образования в сфере культуры и искусства, в целях реализации мероприятий государственной </w:t>
      </w:r>
      <w:hyperlink r:id="rId5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 xml:space="preserve"> Мурманской области "Развитие культуры и сохранение культурного наследия региона" (далее - Программа).</w:t>
      </w:r>
      <w:proofErr w:type="gramEnd"/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Настоящие Правила не распространяются на субсидии, предоставляемые на </w:t>
      </w:r>
      <w:proofErr w:type="spellStart"/>
      <w:r>
        <w:rPr>
          <w:rFonts w:ascii="Arial" w:hAnsi="Arial" w:cs="Arial"/>
          <w:sz w:val="20"/>
        </w:rPr>
        <w:t>софинансирование</w:t>
      </w:r>
      <w:proofErr w:type="spellEnd"/>
      <w:r>
        <w:rPr>
          <w:rFonts w:ascii="Arial" w:hAnsi="Arial" w:cs="Arial"/>
          <w:sz w:val="20"/>
        </w:rPr>
        <w:t xml:space="preserve"> объектов капитального строительства, относящихся к муниципальной собственности.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Субсидии предоставляются в целях </w:t>
      </w:r>
      <w:proofErr w:type="spellStart"/>
      <w:r>
        <w:rPr>
          <w:rFonts w:ascii="Arial" w:hAnsi="Arial" w:cs="Arial"/>
          <w:sz w:val="20"/>
        </w:rPr>
        <w:t>софинансирования</w:t>
      </w:r>
      <w:proofErr w:type="spellEnd"/>
      <w:r>
        <w:rPr>
          <w:rFonts w:ascii="Arial" w:hAnsi="Arial" w:cs="Arial"/>
          <w:sz w:val="20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по реализации муниципальных программ, финансируемых за счет средств местного бюджета, содержащих мероприятия, аналогичные мероприятиям </w:t>
      </w:r>
      <w:hyperlink r:id="rId6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Критерием отбора муниципальных образований для предоставления субсидии является наличие в муниципальном образовании действующих муниципальных программ, финансируемых за счет средств местного бюджета, содержащих мероприятия, аналогичные мероприятиям </w:t>
      </w:r>
      <w:hyperlink r:id="rId7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, в рамках которой предоставляются субсидии.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Условиями предоставления субсидий из областного бюджета бюджету муниципального образования являются: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1) наличие в бюджете муниципального образования бюджетных ассигнований на исполнение расходных обязательств муниципального образования, возникающих при реализации мероприятий муниципальных программ, финансируемых за счет средств местного бюджета;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 xml:space="preserve">2) обязательство муниципальных образований по обеспечению соответствия значений целевых показателей, устанавливаемых нормативными правовыми актами муниципальных образований, значениям целевых показателей результативности предоставления субсидий, установленным соглашением между Комитетом по культуре и искусству Мурманской области или Министерством строительства и территориального развития Мурманской области и органами местного самоуправления о предоставлении субсидии из областного бюджета местному бюджету на реализацию мероприятий </w:t>
      </w:r>
      <w:hyperlink r:id="rId8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 xml:space="preserve"> (далее - Соглашение) и настоящими</w:t>
      </w:r>
      <w:proofErr w:type="gramEnd"/>
      <w:r>
        <w:rPr>
          <w:rFonts w:ascii="Arial" w:hAnsi="Arial" w:cs="Arial"/>
          <w:sz w:val="20"/>
        </w:rPr>
        <w:t xml:space="preserve"> Правилами;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3) заключение Соглашения между Комитетом по культуре и искусству Мурманской области или Министерством строительства и территориального развития Мурманской области и органом местного самоуправления муниципального образования о предоставлении субсидии на реализацию мероприятий </w:t>
      </w:r>
      <w:hyperlink r:id="rId9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4) в случае если субсидия предоставляется на реализацию мероприятия по капитальному и текущему ремонту - наличие проектно-сметной (сметной) документации на капитальный и текущий ремонт учреждений культуры, дополнительного образования в сфере культуры и искусства.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5. </w:t>
      </w:r>
      <w:proofErr w:type="gramStart"/>
      <w:r>
        <w:rPr>
          <w:rFonts w:ascii="Arial" w:hAnsi="Arial" w:cs="Arial"/>
          <w:sz w:val="20"/>
        </w:rPr>
        <w:t xml:space="preserve">Субсидии предоставляются бюджетам муниципальных образований в соответствии со сводной бюджетной росписью областного бюджета, кассовым планом выплат в пределах лимитов бюджетных обязательств, предусмотренных в установленном порядке Комитету по культуре и искусству Мурманской области или Министерству строительства и территориального развития Мурманской области на </w:t>
      </w:r>
      <w:proofErr w:type="spellStart"/>
      <w:r>
        <w:rPr>
          <w:rFonts w:ascii="Arial" w:hAnsi="Arial" w:cs="Arial"/>
          <w:sz w:val="20"/>
        </w:rPr>
        <w:t>софинансирование</w:t>
      </w:r>
      <w:proofErr w:type="spellEnd"/>
      <w:r>
        <w:rPr>
          <w:rFonts w:ascii="Arial" w:hAnsi="Arial" w:cs="Arial"/>
          <w:sz w:val="20"/>
        </w:rPr>
        <w:t xml:space="preserve"> расходных обязательств муниципальных образований, возникающих при выполнении мероприятий </w:t>
      </w:r>
      <w:hyperlink r:id="rId10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, на основании Соглашения.</w:t>
      </w:r>
      <w:proofErr w:type="gramEnd"/>
      <w:r>
        <w:rPr>
          <w:rFonts w:ascii="Arial" w:hAnsi="Arial" w:cs="Arial"/>
          <w:sz w:val="20"/>
        </w:rPr>
        <w:t xml:space="preserve"> Форма Соглашения утверждается: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Комитетом по культуре и искусству Мурманской области (по согласованию с Министерством финансов Мурманской области);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Министерством строительства и территориального развития Мурманской области.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6. В </w:t>
      </w:r>
      <w:proofErr w:type="gramStart"/>
      <w:r>
        <w:rPr>
          <w:rFonts w:ascii="Arial" w:hAnsi="Arial" w:cs="Arial"/>
          <w:sz w:val="20"/>
        </w:rPr>
        <w:t>Соглашении</w:t>
      </w:r>
      <w:proofErr w:type="gramEnd"/>
      <w:r>
        <w:rPr>
          <w:rFonts w:ascii="Arial" w:hAnsi="Arial" w:cs="Arial"/>
          <w:sz w:val="20"/>
        </w:rPr>
        <w:t xml:space="preserve"> предусматриваются: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1) сведения о наличии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2) размер предоставляемой субсидии, условия предоставления и расходования субсидии;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3) значения целевых показателей результативности предоставления субсидии;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4) сроки и порядок представления отчетности об осуществлении расходов местного бюджета, источниками финансового обеспечения которых являются субсидии, а также средства местного бюджета;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5) осуществление </w:t>
      </w:r>
      <w:proofErr w:type="gramStart"/>
      <w:r>
        <w:rPr>
          <w:rFonts w:ascii="Arial" w:hAnsi="Arial" w:cs="Arial"/>
          <w:sz w:val="20"/>
        </w:rPr>
        <w:t>контроля за</w:t>
      </w:r>
      <w:proofErr w:type="gramEnd"/>
      <w:r>
        <w:rPr>
          <w:rFonts w:ascii="Arial" w:hAnsi="Arial" w:cs="Arial"/>
          <w:sz w:val="20"/>
        </w:rPr>
        <w:t xml:space="preserve"> соблюдением муниципальным образованием условий, целей и порядка, установленных при предоставлении субсидии;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6) последствия </w:t>
      </w:r>
      <w:proofErr w:type="spellStart"/>
      <w:r>
        <w:rPr>
          <w:rFonts w:ascii="Arial" w:hAnsi="Arial" w:cs="Arial"/>
          <w:sz w:val="20"/>
        </w:rPr>
        <w:t>недостижения</w:t>
      </w:r>
      <w:proofErr w:type="spellEnd"/>
      <w:r>
        <w:rPr>
          <w:rFonts w:ascii="Arial" w:hAnsi="Arial" w:cs="Arial"/>
          <w:sz w:val="20"/>
        </w:rPr>
        <w:t xml:space="preserve"> муниципальным образованием установленных </w:t>
      </w:r>
      <w:proofErr w:type="gramStart"/>
      <w:r>
        <w:rPr>
          <w:rFonts w:ascii="Arial" w:hAnsi="Arial" w:cs="Arial"/>
          <w:sz w:val="20"/>
        </w:rPr>
        <w:t>значений целевых показателей результативности предоставления субсидий</w:t>
      </w:r>
      <w:proofErr w:type="gramEnd"/>
      <w:r>
        <w:rPr>
          <w:rFonts w:ascii="Arial" w:hAnsi="Arial" w:cs="Arial"/>
          <w:sz w:val="20"/>
        </w:rPr>
        <w:t>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7) ответственность сторон за нарушение условий Соглашения;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8) приостановление перечисления субсидии при несоблюдении органом местного самоуправления условий предоставления субсидии в порядке, установленном Министерством финансов Мурманской области;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9) обязательство заключения муниципальным районом Соглашения с городским и (или) сельским поселением в случае, если субсидия используется муниципальным районом на </w:t>
      </w:r>
      <w:proofErr w:type="spellStart"/>
      <w:r>
        <w:rPr>
          <w:rFonts w:ascii="Arial" w:hAnsi="Arial" w:cs="Arial"/>
          <w:sz w:val="20"/>
        </w:rPr>
        <w:t>софинансирование</w:t>
      </w:r>
      <w:proofErr w:type="spellEnd"/>
      <w:r>
        <w:rPr>
          <w:rFonts w:ascii="Arial" w:hAnsi="Arial" w:cs="Arial"/>
          <w:sz w:val="20"/>
        </w:rPr>
        <w:t xml:space="preserve"> расходных обязательств, возникающих при выполнении полномочий органов местного самоуправления поселений по вопросам местного значения, с учетом положений настоящего пункта и выполнения установленных для муниципального района значений целевых показателей.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Распределение субсидий из областного бюджета между муниципальными образованиями на текущий финансовый год производится в следующем порядке: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в первую очередь субсидии распределяются муниципальным образованиям, по которым имеется соответствующее распоряжение Губернатора Мурманской области, в связи с юбилейными датами;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оставшаяся сумма распределяется между муниципальными образованиями по формуле:</w:t>
      </w:r>
    </w:p>
    <w:p w:rsidR="0061028F" w:rsidRDefault="0061028F" w:rsidP="0061028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61028F" w:rsidRP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lang w:val="en-US"/>
        </w:rPr>
      </w:pPr>
      <w:r w:rsidRPr="0061028F">
        <w:rPr>
          <w:rFonts w:ascii="Arial" w:hAnsi="Arial" w:cs="Arial"/>
          <w:sz w:val="20"/>
          <w:lang w:val="en-US"/>
        </w:rPr>
        <w:t>C</w:t>
      </w:r>
      <w:r w:rsidRPr="0061028F">
        <w:rPr>
          <w:rFonts w:ascii="Arial" w:hAnsi="Arial" w:cs="Arial"/>
          <w:sz w:val="20"/>
          <w:vertAlign w:val="subscript"/>
          <w:lang w:val="en-US"/>
        </w:rPr>
        <w:t>i</w:t>
      </w:r>
      <w:r w:rsidRPr="0061028F">
        <w:rPr>
          <w:rFonts w:ascii="Arial" w:hAnsi="Arial" w:cs="Arial"/>
          <w:sz w:val="20"/>
          <w:lang w:val="en-US"/>
        </w:rPr>
        <w:t xml:space="preserve"> = F x P</w:t>
      </w:r>
      <w:r w:rsidRPr="0061028F">
        <w:rPr>
          <w:rFonts w:ascii="Arial" w:hAnsi="Arial" w:cs="Arial"/>
          <w:sz w:val="20"/>
          <w:vertAlign w:val="subscript"/>
          <w:lang w:val="en-US"/>
        </w:rPr>
        <w:t>i</w:t>
      </w:r>
      <w:r w:rsidRPr="0061028F">
        <w:rPr>
          <w:rFonts w:ascii="Arial" w:hAnsi="Arial" w:cs="Arial"/>
          <w:sz w:val="20"/>
          <w:lang w:val="en-US"/>
        </w:rPr>
        <w:t xml:space="preserve"> / P, </w:t>
      </w:r>
      <w:r>
        <w:rPr>
          <w:rFonts w:ascii="Arial" w:hAnsi="Arial" w:cs="Arial"/>
          <w:sz w:val="20"/>
        </w:rPr>
        <w:t>где</w:t>
      </w:r>
      <w:r w:rsidRPr="0061028F">
        <w:rPr>
          <w:rFonts w:ascii="Arial" w:hAnsi="Arial" w:cs="Arial"/>
          <w:sz w:val="20"/>
          <w:lang w:val="en-US"/>
        </w:rPr>
        <w:t>:</w:t>
      </w:r>
    </w:p>
    <w:p w:rsidR="0061028F" w:rsidRPr="0061028F" w:rsidRDefault="0061028F" w:rsidP="006102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lang w:val="en-US"/>
        </w:rPr>
      </w:pP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C</w:t>
      </w:r>
      <w:r>
        <w:rPr>
          <w:rFonts w:ascii="Arial" w:hAnsi="Arial" w:cs="Arial"/>
          <w:sz w:val="20"/>
          <w:vertAlign w:val="subscript"/>
        </w:rPr>
        <w:t>i</w:t>
      </w:r>
      <w:proofErr w:type="spellEnd"/>
      <w:r>
        <w:rPr>
          <w:rFonts w:ascii="Arial" w:hAnsi="Arial" w:cs="Arial"/>
          <w:sz w:val="20"/>
        </w:rPr>
        <w:t xml:space="preserve"> - объем субсидии из областного бюджета на реализацию мероприятия </w:t>
      </w:r>
      <w:hyperlink r:id="rId11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i-му</w:t>
      </w:r>
      <w:proofErr w:type="spellEnd"/>
      <w:r>
        <w:rPr>
          <w:rFonts w:ascii="Arial" w:hAnsi="Arial" w:cs="Arial"/>
          <w:sz w:val="20"/>
        </w:rPr>
        <w:t xml:space="preserve"> получателю субсидии, но не более заявленного объема;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 - общий объем субсидии из областного бюджета на реализацию мероприятий </w:t>
      </w:r>
      <w:hyperlink r:id="rId12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  <w:vertAlign w:val="subscript"/>
        </w:rPr>
        <w:t>i</w:t>
      </w:r>
      <w:proofErr w:type="spellEnd"/>
      <w:r>
        <w:rPr>
          <w:rFonts w:ascii="Arial" w:hAnsi="Arial" w:cs="Arial"/>
          <w:sz w:val="20"/>
        </w:rPr>
        <w:t xml:space="preserve"> - заявленный объем предоставления субсидии из областного бюджета </w:t>
      </w:r>
      <w:proofErr w:type="spellStart"/>
      <w:r>
        <w:rPr>
          <w:rFonts w:ascii="Arial" w:hAnsi="Arial" w:cs="Arial"/>
          <w:sz w:val="20"/>
        </w:rPr>
        <w:t>i-му</w:t>
      </w:r>
      <w:proofErr w:type="spellEnd"/>
      <w:r>
        <w:rPr>
          <w:rFonts w:ascii="Arial" w:hAnsi="Arial" w:cs="Arial"/>
          <w:sz w:val="20"/>
        </w:rPr>
        <w:t xml:space="preserve"> получателю субсидии;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Р</w:t>
      </w:r>
      <w:proofErr w:type="gramEnd"/>
      <w:r>
        <w:rPr>
          <w:rFonts w:ascii="Arial" w:hAnsi="Arial" w:cs="Arial"/>
          <w:sz w:val="20"/>
        </w:rPr>
        <w:t xml:space="preserve"> - общий заявленный объем </w:t>
      </w:r>
      <w:proofErr w:type="spellStart"/>
      <w:r>
        <w:rPr>
          <w:rFonts w:ascii="Arial" w:hAnsi="Arial" w:cs="Arial"/>
          <w:sz w:val="20"/>
        </w:rPr>
        <w:t>софинансирования</w:t>
      </w:r>
      <w:proofErr w:type="spellEnd"/>
      <w:r>
        <w:rPr>
          <w:rFonts w:ascii="Arial" w:hAnsi="Arial" w:cs="Arial"/>
          <w:sz w:val="20"/>
        </w:rPr>
        <w:t xml:space="preserve"> мероприятий </w:t>
      </w:r>
      <w:hyperlink r:id="rId13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 xml:space="preserve"> по всем получателям субсидии.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8. Уровень </w:t>
      </w:r>
      <w:proofErr w:type="spellStart"/>
      <w:r>
        <w:rPr>
          <w:rFonts w:ascii="Arial" w:hAnsi="Arial" w:cs="Arial"/>
          <w:sz w:val="20"/>
        </w:rPr>
        <w:t>софинансирования</w:t>
      </w:r>
      <w:proofErr w:type="spellEnd"/>
      <w:r>
        <w:rPr>
          <w:rFonts w:ascii="Arial" w:hAnsi="Arial" w:cs="Arial"/>
          <w:sz w:val="20"/>
        </w:rPr>
        <w:t xml:space="preserve"> расходного обязательства муниципального образования за счет субсидии из областного бюджета не может быть установлен выше 95 процентов и ниже 5 процентов расходного обязательства.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 xml:space="preserve">Если размер средств, предусмотренных в бюджете муниципального образования на </w:t>
      </w:r>
      <w:proofErr w:type="spellStart"/>
      <w:r>
        <w:rPr>
          <w:rFonts w:ascii="Arial" w:hAnsi="Arial" w:cs="Arial"/>
          <w:sz w:val="20"/>
        </w:rPr>
        <w:t>софинансирование</w:t>
      </w:r>
      <w:proofErr w:type="spellEnd"/>
      <w:r>
        <w:rPr>
          <w:rFonts w:ascii="Arial" w:hAnsi="Arial" w:cs="Arial"/>
          <w:sz w:val="20"/>
        </w:rPr>
        <w:t xml:space="preserve"> расходов на реализацию мероприятий, не позволяет обеспечить установленный для муниципального образования уровень </w:t>
      </w:r>
      <w:proofErr w:type="spellStart"/>
      <w:r>
        <w:rPr>
          <w:rFonts w:ascii="Arial" w:hAnsi="Arial" w:cs="Arial"/>
          <w:sz w:val="20"/>
        </w:rPr>
        <w:t>софинансирования</w:t>
      </w:r>
      <w:proofErr w:type="spellEnd"/>
      <w:r>
        <w:rPr>
          <w:rFonts w:ascii="Arial" w:hAnsi="Arial" w:cs="Arial"/>
          <w:sz w:val="20"/>
        </w:rPr>
        <w:t xml:space="preserve">, то размер субсидии, предоставляемой муниципальному образованию, подлежит сокращению с целью соблюдения установленного уровня </w:t>
      </w:r>
      <w:proofErr w:type="spellStart"/>
      <w:r>
        <w:rPr>
          <w:rFonts w:ascii="Arial" w:hAnsi="Arial" w:cs="Arial"/>
          <w:sz w:val="20"/>
        </w:rPr>
        <w:t>софинансирования</w:t>
      </w:r>
      <w:proofErr w:type="spellEnd"/>
      <w:r>
        <w:rPr>
          <w:rFonts w:ascii="Arial" w:hAnsi="Arial" w:cs="Arial"/>
          <w:sz w:val="20"/>
        </w:rPr>
        <w:t xml:space="preserve"> из областного и муниципального бюджетов.</w:t>
      </w:r>
      <w:proofErr w:type="gramEnd"/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Целевыми показателями результативности использования субсидии являются: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а) доля использованной субсидии, направленной на укрепление материально-технической базы учреждений культуры, учреждений дополнительного образования в сфере культуры и искусства, в общем объеме перечисленной субсидии на указанные цели;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 xml:space="preserve">б) доля приобретенных единиц основных средств от планируемого количества по </w:t>
      </w:r>
      <w:hyperlink r:id="rId14" w:history="1">
        <w:r>
          <w:rPr>
            <w:rFonts w:ascii="Arial" w:hAnsi="Arial" w:cs="Arial"/>
            <w:color w:val="0000FF"/>
            <w:sz w:val="20"/>
          </w:rPr>
          <w:t>Программе</w:t>
        </w:r>
      </w:hyperlink>
      <w:r>
        <w:rPr>
          <w:rFonts w:ascii="Arial" w:hAnsi="Arial" w:cs="Arial"/>
          <w:sz w:val="20"/>
        </w:rPr>
        <w:t>;</w:t>
      </w:r>
      <w:proofErr w:type="gramEnd"/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в) доля использованной субсидии на осуществление ремонтных работ в учреждениях культуры, учреждениях дополнительного образования в сфере культуры и искусства в общем объеме перечисленной субсидии на указанные цели;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г) доля отремонтированных площадей от общего объема площадей, запланированных к проведению ремонтных работ по </w:t>
      </w:r>
      <w:hyperlink r:id="rId15" w:history="1">
        <w:r>
          <w:rPr>
            <w:rFonts w:ascii="Arial" w:hAnsi="Arial" w:cs="Arial"/>
            <w:color w:val="0000FF"/>
            <w:sz w:val="20"/>
          </w:rPr>
          <w:t>Программе</w:t>
        </w:r>
      </w:hyperlink>
      <w:r>
        <w:rPr>
          <w:rFonts w:ascii="Arial" w:hAnsi="Arial" w:cs="Arial"/>
          <w:sz w:val="20"/>
        </w:rPr>
        <w:t>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Перечисление субсидий в бюджеты муниципальных образований осуществляется на счета, открытые в территориальных органах Федерального казначейства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Операции по кассовым расходам местных бюджетов, источником финансового обеспечения которых являются субсидии, учитываются на лицевом счете получателя средств бюджета муниципального образования, открытого в территориальном органе Федерального казначейства.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Субсидии носят целевой характер и не могут быть использованы на другие цели.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12. В </w:t>
      </w:r>
      <w:proofErr w:type="gramStart"/>
      <w:r>
        <w:rPr>
          <w:rFonts w:ascii="Arial" w:hAnsi="Arial" w:cs="Arial"/>
          <w:sz w:val="20"/>
        </w:rPr>
        <w:t>случае</w:t>
      </w:r>
      <w:proofErr w:type="gramEnd"/>
      <w:r>
        <w:rPr>
          <w:rFonts w:ascii="Arial" w:hAnsi="Arial" w:cs="Arial"/>
          <w:sz w:val="20"/>
        </w:rPr>
        <w:t xml:space="preserve"> если в отчетном финансовом году муниципальным образованием не достигнуты значения целевых показателей результативности предоставления субсидии, установленные Соглашениями, объем субсидии, предусмотренный местному бюджету на текущий финансовый год, подлежит сокращению.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Сокращение размера субсидии, предусмотренной бюджету муниципального образования Мурманской области на текущий финансовый год, производится в размере 2 % размера субсидии за каждое недостигнутое значение целевого показателя результативности предоставления субсидии.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13. Орган местного самоуправления муниципального образования несет ответственность за несвоевременное и неполноценное обеспечение расходов на реализацию мероприятий </w:t>
      </w:r>
      <w:hyperlink r:id="rId16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, а также за нецелевое использование субсидий и недостоверность предоставляемых сведений.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14. </w:t>
      </w:r>
      <w:proofErr w:type="gramStart"/>
      <w:r>
        <w:rPr>
          <w:rFonts w:ascii="Arial" w:hAnsi="Arial" w:cs="Arial"/>
          <w:sz w:val="20"/>
        </w:rPr>
        <w:t xml:space="preserve">Если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(далее - закупка), обязательным условием предоставления субсидии является централизация закупок в соответствии с </w:t>
      </w:r>
      <w:hyperlink r:id="rId17" w:history="1">
        <w:r>
          <w:rPr>
            <w:rFonts w:ascii="Arial" w:hAnsi="Arial" w:cs="Arial"/>
            <w:color w:val="0000FF"/>
            <w:sz w:val="20"/>
          </w:rPr>
          <w:t>частью 7 статьи 26</w:t>
        </w:r>
      </w:hyperlink>
      <w:r>
        <w:rPr>
          <w:rFonts w:ascii="Arial" w:hAnsi="Arial" w:cs="Arial"/>
          <w:sz w:val="20"/>
        </w:rPr>
        <w:t xml:space="preserve"> Федерального закона от 05.04.2013 N 44-ФЗ "О контрактной системе в сфере закупок товаров, работ</w:t>
      </w:r>
      <w:proofErr w:type="gramEnd"/>
      <w:r>
        <w:rPr>
          <w:rFonts w:ascii="Arial" w:hAnsi="Arial" w:cs="Arial"/>
          <w:sz w:val="20"/>
        </w:rPr>
        <w:t xml:space="preserve">, услуг для обеспечения государственных и муниципальных нужд"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самоуправления). В </w:t>
      </w:r>
      <w:proofErr w:type="gramStart"/>
      <w:r>
        <w:rPr>
          <w:rFonts w:ascii="Arial" w:hAnsi="Arial" w:cs="Arial"/>
          <w:sz w:val="20"/>
        </w:rPr>
        <w:t>этом</w:t>
      </w:r>
      <w:proofErr w:type="gramEnd"/>
      <w:r>
        <w:rPr>
          <w:rFonts w:ascii="Arial" w:hAnsi="Arial" w:cs="Arial"/>
          <w:sz w:val="20"/>
        </w:rPr>
        <w:t xml:space="preserve">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Органам местного самоуправления рекомендуется осуществлять согласование с главным распорядителем средств областного бюджета документации по торгам, а также включать его представителя в состав комиссии по торгам.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Орган местного самоуправления муниципального образования ежеквартально, не позднее 8-го числа месяца, следующего за отчетным кварталом, представляет в Комитет по культуре и искусству Мурманской области или в Министерство строительства и территориального развития Мурманской области отчет о расходах бюджетов муниципальных образований, источником финансового обеспечения которых являются субсидии. Форма отчета о расходах бюджетов муниципальных образований, источником финансового обеспечения которых являются субсидии, утверждается: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Комитетом по культуре и искусству Мурманской области (по согласованию с Министерством финансов Мурманской области);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Министерством строительства и территориального развития Мурманской области.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17. Комитет по культуре и искусству Мурманской области представляет в Министерство финансов Мурманской области ежеквартально, не позднее 10-го числа месяца, следующего за отчетным кварталом, отчет о расходовании средств, предоставленных на реализацию мероприятий </w:t>
      </w:r>
      <w:hyperlink r:id="rId18" w:history="1">
        <w:r>
          <w:rPr>
            <w:rFonts w:ascii="Arial" w:hAnsi="Arial" w:cs="Arial"/>
            <w:color w:val="0000FF"/>
            <w:sz w:val="20"/>
          </w:rPr>
          <w:t>Программы</w:t>
        </w:r>
      </w:hyperlink>
      <w:r>
        <w:rPr>
          <w:rFonts w:ascii="Arial" w:hAnsi="Arial" w:cs="Arial"/>
          <w:sz w:val="20"/>
        </w:rPr>
        <w:t>, по форме, утвержденной Комитетом по культуре и искусству Мурманской области по согласованию с Министерством финансов Мурманской области.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18. В </w:t>
      </w:r>
      <w:proofErr w:type="gramStart"/>
      <w:r>
        <w:rPr>
          <w:rFonts w:ascii="Arial" w:hAnsi="Arial" w:cs="Arial"/>
          <w:sz w:val="20"/>
        </w:rPr>
        <w:t>случае</w:t>
      </w:r>
      <w:proofErr w:type="gramEnd"/>
      <w:r>
        <w:rPr>
          <w:rFonts w:ascii="Arial" w:hAnsi="Arial" w:cs="Arial"/>
          <w:sz w:val="20"/>
        </w:rPr>
        <w:t xml:space="preserve"> нецелевого использования субсидий соответствующие средства подлежат взысканию в доход областного бюджета в соответствии с бюджетным законодательством Российской Федерации.</w:t>
      </w:r>
    </w:p>
    <w:p w:rsidR="0061028F" w:rsidRDefault="0061028F" w:rsidP="006102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19. </w:t>
      </w:r>
      <w:proofErr w:type="gramStart"/>
      <w:r>
        <w:rPr>
          <w:rFonts w:ascii="Arial" w:hAnsi="Arial" w:cs="Arial"/>
          <w:sz w:val="20"/>
        </w:rPr>
        <w:t>Контроль за</w:t>
      </w:r>
      <w:proofErr w:type="gramEnd"/>
      <w:r>
        <w:rPr>
          <w:rFonts w:ascii="Arial" w:hAnsi="Arial" w:cs="Arial"/>
          <w:sz w:val="20"/>
        </w:rPr>
        <w:t xml:space="preserve"> соблюдением органом местного самоуправления условий, целей и порядка получения субсидий, установленных при их предоставлении, осуществляется Комитетом по культуре и искусству Мурманской области или Министерством строительства и территориального развития Мурманской области, органами государственного финансового контроля.</w:t>
      </w:r>
    </w:p>
    <w:p w:rsidR="0033580F" w:rsidRDefault="0033580F"/>
    <w:sectPr w:rsidR="0033580F" w:rsidSect="00AC628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28F"/>
    <w:rsid w:val="00272698"/>
    <w:rsid w:val="0033580F"/>
    <w:rsid w:val="0061028F"/>
    <w:rsid w:val="00C53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98"/>
    <w:rPr>
      <w:rFonts w:ascii="SchoolBook" w:hAnsi="SchoolBook"/>
      <w:sz w:val="22"/>
    </w:rPr>
  </w:style>
  <w:style w:type="paragraph" w:styleId="1">
    <w:name w:val="heading 1"/>
    <w:basedOn w:val="a"/>
    <w:next w:val="a"/>
    <w:link w:val="10"/>
    <w:qFormat/>
    <w:rsid w:val="00272698"/>
    <w:pPr>
      <w:keepNext/>
      <w:ind w:right="11"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27269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7269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72698"/>
    <w:pPr>
      <w:keepNext/>
      <w:ind w:right="11"/>
      <w:jc w:val="both"/>
      <w:outlineLvl w:val="3"/>
    </w:pPr>
    <w:rPr>
      <w:rFonts w:ascii="Times New Roman" w:hAnsi="Times New Roman"/>
      <w:bCs/>
      <w:sz w:val="26"/>
    </w:rPr>
  </w:style>
  <w:style w:type="paragraph" w:styleId="5">
    <w:name w:val="heading 5"/>
    <w:basedOn w:val="a"/>
    <w:next w:val="a"/>
    <w:link w:val="50"/>
    <w:qFormat/>
    <w:rsid w:val="00272698"/>
    <w:pPr>
      <w:keepNext/>
      <w:outlineLvl w:val="4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698"/>
    <w:rPr>
      <w:sz w:val="28"/>
    </w:rPr>
  </w:style>
  <w:style w:type="character" w:customStyle="1" w:styleId="20">
    <w:name w:val="Заголовок 2 Знак"/>
    <w:basedOn w:val="a0"/>
    <w:link w:val="2"/>
    <w:rsid w:val="00272698"/>
    <w:rPr>
      <w:rFonts w:ascii="SchoolBook" w:hAnsi="SchoolBook"/>
      <w:sz w:val="28"/>
    </w:rPr>
  </w:style>
  <w:style w:type="character" w:customStyle="1" w:styleId="30">
    <w:name w:val="Заголовок 3 Знак"/>
    <w:basedOn w:val="a0"/>
    <w:link w:val="3"/>
    <w:rsid w:val="00272698"/>
    <w:rPr>
      <w:rFonts w:ascii="SchoolBook" w:hAnsi="SchoolBook"/>
      <w:sz w:val="28"/>
    </w:rPr>
  </w:style>
  <w:style w:type="character" w:customStyle="1" w:styleId="40">
    <w:name w:val="Заголовок 4 Знак"/>
    <w:basedOn w:val="a0"/>
    <w:link w:val="4"/>
    <w:rsid w:val="00272698"/>
    <w:rPr>
      <w:bCs/>
      <w:sz w:val="26"/>
    </w:rPr>
  </w:style>
  <w:style w:type="character" w:customStyle="1" w:styleId="50">
    <w:name w:val="Заголовок 5 Знак"/>
    <w:basedOn w:val="a0"/>
    <w:link w:val="5"/>
    <w:rsid w:val="00272698"/>
    <w:rPr>
      <w:sz w:val="28"/>
    </w:rPr>
  </w:style>
  <w:style w:type="paragraph" w:styleId="a3">
    <w:name w:val="Title"/>
    <w:basedOn w:val="a"/>
    <w:link w:val="a4"/>
    <w:qFormat/>
    <w:rsid w:val="00272698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Название Знак"/>
    <w:basedOn w:val="a0"/>
    <w:link w:val="a3"/>
    <w:rsid w:val="00272698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A7BBA9F40F1A2B25ABAECC32FA1A48CC13499C82C6E254B50F392A278A30F8A303F69935F27D57F5741BJ8lDH" TargetMode="External"/><Relationship Id="rId13" Type="http://schemas.openxmlformats.org/officeDocument/2006/relationships/hyperlink" Target="consultantplus://offline/ref=6BA7BBA9F40F1A2B25ABAECC32FA1A48CC13499C82C6E254B50F392A278A30F8A303F69935F27D57F5741BJ8lDH" TargetMode="External"/><Relationship Id="rId18" Type="http://schemas.openxmlformats.org/officeDocument/2006/relationships/hyperlink" Target="consultantplus://offline/ref=6BA7BBA9F40F1A2B25ABAECC32FA1A48CC13499C82C6E254B50F392A278A30F8A303F69935F27D57F5741BJ8lD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BA7BBA9F40F1A2B25ABAECC32FA1A48CC13499C82C6E254B50F392A278A30F8A303F69935F27D57F5741BJ8lDH" TargetMode="External"/><Relationship Id="rId12" Type="http://schemas.openxmlformats.org/officeDocument/2006/relationships/hyperlink" Target="consultantplus://offline/ref=6BA7BBA9F40F1A2B25ABAECC32FA1A48CC13499C82C6E254B50F392A278A30F8A303F69935F27D57F5741BJ8lDH" TargetMode="External"/><Relationship Id="rId17" Type="http://schemas.openxmlformats.org/officeDocument/2006/relationships/hyperlink" Target="consultantplus://offline/ref=6BA7BBA9F40F1A2B25ABB0C12496444DC918179384C0EA0AEE50627770833AAFE44CAFDB71FF7F57JFl0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BA7BBA9F40F1A2B25ABAECC32FA1A48CC13499C82C6E254B50F392A278A30F8A303F69935F27D57F5741BJ8lD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A7BBA9F40F1A2B25ABAECC32FA1A48CC13499C82C6E254B50F392A278A30F8A303F69935F27D57F5741BJ8lDH" TargetMode="External"/><Relationship Id="rId11" Type="http://schemas.openxmlformats.org/officeDocument/2006/relationships/hyperlink" Target="consultantplus://offline/ref=6BA7BBA9F40F1A2B25ABAECC32FA1A48CC13499C82C6E254B50F392A278A30F8A303F69935F27D57F5741BJ8lDH" TargetMode="External"/><Relationship Id="rId5" Type="http://schemas.openxmlformats.org/officeDocument/2006/relationships/hyperlink" Target="consultantplus://offline/ref=6BA7BBA9F40F1A2B25ABAECC32FA1A48CC13499C82C6E254B50F392A278A30F8A303F69935F27D57F5741BJ8lDH" TargetMode="External"/><Relationship Id="rId15" Type="http://schemas.openxmlformats.org/officeDocument/2006/relationships/hyperlink" Target="consultantplus://offline/ref=6BA7BBA9F40F1A2B25ABAECC32FA1A48CC13499C82C6E254B50F392A278A30F8A303F69935F27D57F5741BJ8lDH" TargetMode="External"/><Relationship Id="rId10" Type="http://schemas.openxmlformats.org/officeDocument/2006/relationships/hyperlink" Target="consultantplus://offline/ref=6BA7BBA9F40F1A2B25ABAECC32FA1A48CC13499C82C6E254B50F392A278A30F8A303F69935F27D57F5741BJ8lDH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BA7BBA9F40F1A2B25ABAECC32FA1A48CC13499C83CEE75BB70F392A278A30F8A303F69935F27D57F47613J8l8H" TargetMode="External"/><Relationship Id="rId9" Type="http://schemas.openxmlformats.org/officeDocument/2006/relationships/hyperlink" Target="consultantplus://offline/ref=6BA7BBA9F40F1A2B25ABAECC32FA1A48CC13499C82C6E254B50F392A278A30F8A303F69935F27D57F5741BJ8lDH" TargetMode="External"/><Relationship Id="rId14" Type="http://schemas.openxmlformats.org/officeDocument/2006/relationships/hyperlink" Target="consultantplus://offline/ref=6BA7BBA9F40F1A2B25ABAECC32FA1A48CC13499C82C6E254B50F392A278A30F8A303F69935F27D57F5741BJ8l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2105</Words>
  <Characters>12005</Characters>
  <Application>Microsoft Office Word</Application>
  <DocSecurity>0</DocSecurity>
  <Lines>100</Lines>
  <Paragraphs>28</Paragraphs>
  <ScaleCrop>false</ScaleCrop>
  <Company>Министерство финансов Мурманской области</Company>
  <LinksUpToDate>false</LinksUpToDate>
  <CharactersWithSpaces>14082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zelinskaya</dc:creator>
  <cp:lastModifiedBy>zelinskaya</cp:lastModifiedBy>
  <cp:revision>1</cp:revision>
  <dcterms:created xsi:type="dcterms:W3CDTF">2016-11-03T07:37:00Z</dcterms:created>
  <dcterms:modified xsi:type="dcterms:W3CDTF">2016-11-03T07:38:00Z</dcterms:modified>
</cp:coreProperties>
</file>